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brakuje 150 tys. pracowników. Rusza nowa kampania Fundacji Sukcesu Pisanego Szminką zachęcająca do zatrudniania uchodźców i uchodźczyń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połowie polskich firm funkcjonowanie utrudnia brak pracowników. Jednocześnie bezrobocie w Polsce jest obecnie najniższe od 32 lat i nieustannie powstają nowe miejsca pracy. Odpowiedzią na kłopoty przedsiębiorców i polskiej gospodarki może być zatrudnianie imigrantów i uchodźców. Fundacja Sukcesu Pisanego Szminką rusza z kampanią „Silniejsi Razem”, zwracającą uwagę na korzyści wynikające z zatrudniania uchodźców i uchodźczyń.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brakuje prawie 150 tys. pracowników</w:t>
      </w:r>
      <w:r>
        <w:rPr>
          <w:rFonts w:ascii="calibri" w:hAnsi="calibri" w:eastAsia="calibri" w:cs="calibri"/>
          <w:sz w:val="24"/>
          <w:szCs w:val="24"/>
        </w:rPr>
        <w:t xml:space="preserve">. Jednocześnie na każde zlikwidowane miejsce pracy przypadają 2,1 nowo utworzone. Jak wynika z miesięcznego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i Banku Gospodarstwa Krajowego,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niedostępność pracowników stanowi ważną lub bardzo ważną barierę w prowadzeniu firmy dla połowy przedsiębiorców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są uchodźcami i uchodźczyniami. Jeśli damy im szansę - jutro będą świetnymi pracownikami, przedsiębiorczymi właścicielkami firm, podatnikami, atrakcyjnymi konsumentkami i inwestorami. Zatrudnianie uchodźców i tworzenie miejsc bez granic to szansa na lepsze życie nie tylko dla przesiedleńców, ale każdego z nas. Nie będę zaprzeczać – tak ogromna liczba nowych mieszkańców to ogromne wyzwanie społeczne i finansowe. Ale musimy ponieść pewne koszty, by mówić o zyskach. I nasza kampania jest właśnie o tym – że razem wszyscy jesteśmy silniejsi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wolnych miejsc pracy według GUSu jest w sektorach przemysłu, budownictwa, handlu i naprawy pojazdów samochodowych, transportu i magazynowania, działalności profesjonalnej, naukowej i technicznej oraz opieki zdrowotnej i pomocy społecznej. Niemal ¼ wszystkich wolnych miejsc pracy stanowią te zaliczane do szerokiej grupy stanowisk określanych jako specjaliści. Z kolei największy wzrost liczby wolnych miejsc pracy odnotowano w sektorze informacji i komunikacji. Niemal 85 proc. podmiotów dysponujących wolnymi miejscami pracy to firmy prywatne. Tymczasem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stopa bezrobocia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wynosi aktualnie niecałe 5 proc. i jest najniższa od 32 lat.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zatrudnianych uchodźców i uchodźczyń wskaźnik rotacji jest znacznie niższy niż wśród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Europejczycy chętniej korzystają z usług firm zatrudniających uchodźców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częściej wybiera je aż 80 proc. europejskich konsumentów między 18 a 35 rokiem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problemy przedsiębiorców ze znalezieniem pracowników jest zatrudnianie cudzoziemców – imigrantów i uchodźców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Oddziału NatWest Group w Polsce</w:t>
      </w:r>
      <w:r>
        <w:rPr>
          <w:rFonts w:ascii="calibri" w:hAnsi="calibri" w:eastAsia="calibri" w:cs="calibri"/>
          <w:sz w:val="24"/>
          <w:szCs w:val="24"/>
          <w:b/>
        </w:rPr>
        <w:t xml:space="preserve">, partner kampanii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kulturowa i etniczna jest dla Polaków stosunkowo nowym zjawiskiem, które nadal wymaga oswojenia. A oswajać warto, ponieważ włączenie cudzoziemców w nasz rynek pracy to korzyść zarówno dla firm, jak i dla polskiej gospodarki, której rozwój brak pracowników zwyczajnie hamuje. Eksperci szacują, że już teraz Polska jest w stanie znaleźć zatrudnienie nawet dla pół miliona uchodźców. Rynek jest więc niezwykle chłonny. Dzięki współpracy wszyscy będziemy silniejsi, dlatego potrzebujemy budować wśród Polaków i polskich przedsiębiorców świadomość i otwartość.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„Silniejsi Razem”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inicjatywą Fundacji Sukcesu Pisanego Szminką, najstarszej w Polsce fundacji promującej przedsiębiorczość. Realizowana jest przy wsparciu Partnerów: NatWest Group w Polsce oraz Urzędu Miasta st.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artykułami merytorycznymi na poruszany w kampanii temat oraz najlepszymi praktykami</w:t>
      </w:r>
      <w:r>
        <w:rPr>
          <w:rFonts w:ascii="calibri" w:hAnsi="calibri" w:eastAsia="calibri" w:cs="calibri"/>
          <w:sz w:val="24"/>
          <w:szCs w:val="24"/>
        </w:rPr>
        <w:t xml:space="preserve"> prezentowanymi przez przedstawicieli firm zatrudniających wielu cudzoziemców, m.in. Żabki, PepsiCo, czy Orange.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rynek-pracy/popyt-na-prace/popyt-na-prace-w-2-kwartale-2022-roku,2,46.html" TargetMode="External"/><Relationship Id="rId8" Type="http://schemas.openxmlformats.org/officeDocument/2006/relationships/hyperlink" Target="https://pie.net.pl/wp-content/uploads/2022/06/MIK_6-2022.pdf" TargetMode="External"/><Relationship Id="rId9" Type="http://schemas.openxmlformats.org/officeDocument/2006/relationships/hyperlink" Target="https://www.gov.pl/web/rodzina/bezrobocie-najnizsze-od-ponad-trzech-dekad" TargetMode="External"/><Relationship Id="rId10" Type="http://schemas.openxmlformats.org/officeDocument/2006/relationships/hyperlink" Target="https://www.tent.org/wp-content/uploads/2021/09/TENT_FPI-Refugees-as-Employees-Report.pdf" TargetMode="External"/><Relationship Id="rId11" Type="http://schemas.openxmlformats.org/officeDocument/2006/relationships/hyperlink" Target="https://www.tent.org/resources/helping-refugees-helps-brands-europe/" TargetMode="External"/><Relationship Id="rId12" Type="http://schemas.openxmlformats.org/officeDocument/2006/relationships/hyperlink" Target="http://www.silniejsiraz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2025-11-05T08:57:51+01:00</dcterms:created>
  <dcterms:modified xsi:type="dcterms:W3CDTF">2025-11-05T08:57:51+01:00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